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kern w:val="0"/>
          <w:sz w:val="30"/>
          <w:szCs w:val="30"/>
        </w:rPr>
        <w:t>2022年首都医科大学附属北京安定医院“优培计划”招聘计划</w:t>
      </w:r>
    </w:p>
    <w:p>
      <w:pPr>
        <w:pStyle w:val="style0"/>
        <w:ind w:left="141" w:leftChars="67" w:firstLine="92" w:firstLineChars="44"/>
        <w:jc w:val="center"/>
        <w:rPr>
          <w:color w:val="000000"/>
          <w:szCs w:val="21"/>
        </w:rPr>
      </w:pPr>
      <w:r>
        <w:rPr>
          <w:color w:val="000000"/>
          <w:szCs w:val="21"/>
        </w:rPr>
        <w:t> </w:t>
      </w:r>
      <w:r>
        <w:rPr>
          <w:rFonts w:hint="eastAsia"/>
          <w:color w:val="000000"/>
          <w:szCs w:val="21"/>
        </w:rPr>
        <w:t xml:space="preserve">   </w:t>
      </w:r>
    </w:p>
    <w:tbl>
      <w:tblPr>
        <w:tblW w:w="99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960"/>
        <w:gridCol w:w="3093"/>
        <w:gridCol w:w="567"/>
        <w:gridCol w:w="1350"/>
        <w:gridCol w:w="1530"/>
        <w:gridCol w:w="1635"/>
      </w:tblGrid>
      <w:tr>
        <w:trPr>
          <w:trHeight w:val="810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黑体" w:cs="黑体" w:eastAsia="黑体" w:hAnsi="宋体"/>
                <w:color w:val="000000"/>
                <w:kern w:val="0"/>
                <w:sz w:val="24"/>
              </w:rPr>
            </w:pPr>
            <w:r>
              <w:rPr>
                <w:rFonts w:ascii="黑体" w:cs="黑体" w:eastAsia="黑体" w:hAnsi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黑体" w:cs="黑体" w:eastAsia="黑体" w:hAnsi="宋体"/>
                <w:color w:val="000000"/>
                <w:sz w:val="24"/>
              </w:rPr>
            </w:pPr>
            <w:r>
              <w:rPr>
                <w:rFonts w:ascii="黑体" w:cs="黑体" w:eastAsia="黑体" w:hAnsi="宋体" w:hint="eastAsia"/>
                <w:color w:val="000000"/>
                <w:kern w:val="0"/>
                <w:sz w:val="24"/>
              </w:rPr>
              <w:t>职位</w:t>
            </w:r>
            <w:r>
              <w:rPr>
                <w:rFonts w:ascii="黑体" w:cs="黑体" w:eastAsia="黑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黑体" w:cs="黑体" w:eastAsia="黑体" w:hAnsi="宋体" w:hint="eastAsia"/>
                <w:color w:val="000000"/>
                <w:kern w:val="0"/>
                <w:sz w:val="24"/>
              </w:rPr>
              <w:t>名称</w:t>
            </w:r>
          </w:p>
          <w:bookmarkStart w:id="0" w:name="_GoBack"/>
          <w:bookmarkEnd w:id="0"/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黑体" w:cs="黑体" w:eastAsia="黑体" w:hAnsi="宋体"/>
                <w:color w:val="000000"/>
                <w:sz w:val="24"/>
              </w:rPr>
            </w:pPr>
            <w:r>
              <w:rPr>
                <w:rFonts w:ascii="黑体" w:cs="黑体" w:eastAsia="黑体" w:hAnsi="宋体" w:hint="eastAsia"/>
                <w:color w:val="000000"/>
                <w:kern w:val="0"/>
                <w:sz w:val="24"/>
              </w:rPr>
              <w:t>职位简介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黑体" w:cs="黑体" w:eastAsia="黑体" w:hAnsi="宋体"/>
                <w:color w:val="000000"/>
                <w:sz w:val="24"/>
              </w:rPr>
            </w:pPr>
            <w:r>
              <w:rPr>
                <w:rFonts w:ascii="黑体" w:cs="黑体" w:eastAsia="黑体" w:hAnsi="宋体" w:hint="eastAsia"/>
                <w:color w:val="000000"/>
                <w:kern w:val="0"/>
                <w:sz w:val="24"/>
              </w:rPr>
              <w:t>招考人数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黑体" w:cs="黑体" w:eastAsia="黑体" w:hAnsi="宋体"/>
                <w:color w:val="000000"/>
                <w:sz w:val="24"/>
              </w:rPr>
            </w:pPr>
            <w:r>
              <w:rPr>
                <w:rFonts w:ascii="黑体" w:cs="黑体" w:eastAsia="黑体" w:hAnsi="宋体" w:hint="eastAsia"/>
                <w:color w:val="000000"/>
                <w:kern w:val="0"/>
                <w:sz w:val="24"/>
              </w:rPr>
              <w:t>学历</w:t>
            </w:r>
            <w:r>
              <w:rPr>
                <w:rFonts w:ascii="黑体" w:cs="黑体" w:eastAsia="黑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黑体" w:cs="黑体" w:eastAsia="黑体" w:hAnsi="宋体" w:hint="eastAsia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黑体" w:cs="黑体" w:eastAsia="黑体" w:hAnsi="宋体"/>
                <w:color w:val="000000"/>
                <w:sz w:val="24"/>
              </w:rPr>
            </w:pPr>
            <w:r>
              <w:rPr>
                <w:rFonts w:ascii="黑体" w:cs="黑体" w:eastAsia="黑体" w:hAnsi="宋体" w:hint="eastAsia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黑体" w:cs="黑体" w:eastAsia="黑体" w:hAnsi="宋体"/>
                <w:color w:val="000000"/>
                <w:sz w:val="32"/>
                <w:szCs w:val="32"/>
              </w:rPr>
            </w:pPr>
            <w:r>
              <w:rPr>
                <w:rFonts w:ascii="黑体" w:cs="黑体" w:eastAsia="黑体" w:hAnsi="宋体" w:hint="eastAsia"/>
                <w:color w:val="000000"/>
                <w:kern w:val="0"/>
                <w:sz w:val="24"/>
              </w:rPr>
              <w:t>其它条件</w:t>
            </w:r>
          </w:p>
        </w:tc>
      </w:tr>
      <w:tr>
        <w:tblPrEx/>
        <w:trPr>
          <w:trHeight w:val="1620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Style w:val="style4099"/>
                <w:sz w:val="24"/>
                <w:szCs w:val="24"/>
              </w:rPr>
            </w:pPr>
            <w:r>
              <w:rPr>
                <w:rStyle w:val="style4099"/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style4099"/>
                <w:sz w:val="24"/>
                <w:szCs w:val="24"/>
              </w:rPr>
              <w:t>心理治疗师岗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style4099"/>
                <w:sz w:val="24"/>
                <w:szCs w:val="24"/>
              </w:rPr>
              <w:t>从事临床心理治疗、心理学科研教学及对外交流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style4099"/>
                <w:sz w:val="24"/>
                <w:szCs w:val="24"/>
              </w:rPr>
              <w:t>仅限博士研究生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style4099"/>
                <w:sz w:val="24"/>
                <w:szCs w:val="24"/>
              </w:rPr>
              <w:t>基础心理学、应用心理学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Style w:val="style4099"/>
                <w:sz w:val="24"/>
                <w:szCs w:val="24"/>
              </w:rPr>
            </w:pPr>
            <w:r>
              <w:rPr>
                <w:rStyle w:val="style4099"/>
                <w:sz w:val="24"/>
                <w:szCs w:val="24"/>
              </w:rPr>
              <w:t>第一作者发表</w:t>
            </w:r>
            <w:r>
              <w:rPr>
                <w:rStyle w:val="style4099"/>
                <w:sz w:val="24"/>
                <w:szCs w:val="24"/>
              </w:rPr>
              <w:t>SCI</w:t>
            </w:r>
            <w:r>
              <w:rPr>
                <w:rStyle w:val="style4099"/>
                <w:sz w:val="24"/>
                <w:szCs w:val="24"/>
              </w:rPr>
              <w:t>论文</w:t>
            </w:r>
            <w:r>
              <w:rPr>
                <w:rStyle w:val="style4099"/>
                <w:sz w:val="24"/>
                <w:szCs w:val="24"/>
              </w:rPr>
              <w:t>1</w:t>
            </w:r>
            <w:r>
              <w:rPr>
                <w:rStyle w:val="style4099"/>
                <w:sz w:val="24"/>
                <w:szCs w:val="24"/>
              </w:rPr>
              <w:t>篇及以上</w:t>
            </w:r>
          </w:p>
        </w:tc>
      </w:tr>
      <w:tr>
        <w:tblPrEx/>
        <w:trPr>
          <w:trHeight w:val="2430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Style w:val="style4099"/>
                <w:sz w:val="24"/>
                <w:szCs w:val="24"/>
              </w:rPr>
            </w:pPr>
            <w:r>
              <w:rPr>
                <w:rStyle w:val="style4099"/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style4099"/>
                <w:sz w:val="24"/>
                <w:szCs w:val="24"/>
              </w:rPr>
              <w:t>院感疾控岗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style4099"/>
                <w:sz w:val="24"/>
                <w:szCs w:val="24"/>
              </w:rPr>
              <w:t>制定医院感染管理控制和持续改进方案、工作计划，并组织实施、监督和效果评价；负责医院各级各类人员预防控制医院感染知识与技能的培训等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style4099"/>
                <w:sz w:val="24"/>
                <w:szCs w:val="24"/>
              </w:rPr>
              <w:t>硕士研究生及以上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style4099"/>
                <w:sz w:val="24"/>
                <w:szCs w:val="24"/>
              </w:rPr>
              <w:t>公共卫生、公共卫生与预防医学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Style w:val="style4099"/>
                <w:sz w:val="24"/>
                <w:szCs w:val="24"/>
              </w:rPr>
            </w:pPr>
          </w:p>
        </w:tc>
      </w:tr>
      <w:tr>
        <w:tblPrEx/>
        <w:trPr>
          <w:trHeight w:val="2430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Style w:val="style4099"/>
                <w:sz w:val="24"/>
                <w:szCs w:val="24"/>
              </w:rPr>
            </w:pPr>
            <w:r>
              <w:rPr>
                <w:rStyle w:val="style4099"/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style4099"/>
                <w:sz w:val="24"/>
                <w:szCs w:val="24"/>
              </w:rPr>
              <w:t>医学工程管理岗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style4099"/>
                <w:sz w:val="24"/>
                <w:szCs w:val="24"/>
              </w:rPr>
              <w:t>从事医学装备购置、验收、质控、维护、修理、计量、应用分析、处置等全程管理；医疗设备采购、医用耗材采购和管理、物资用品采购和管理等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style4099"/>
                <w:sz w:val="24"/>
                <w:szCs w:val="24"/>
              </w:rPr>
              <w:t>硕士研究生及以上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style4099"/>
                <w:sz w:val="24"/>
                <w:szCs w:val="24"/>
              </w:rPr>
              <w:t>生物医学工程、物流管理与物流工程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Style w:val="style4099"/>
                <w:sz w:val="24"/>
                <w:szCs w:val="24"/>
              </w:rPr>
            </w:pPr>
          </w:p>
        </w:tc>
      </w:tr>
      <w:tr>
        <w:tblPrEx/>
        <w:trPr>
          <w:trHeight w:val="1620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Style w:val="style4099"/>
                <w:sz w:val="24"/>
                <w:szCs w:val="24"/>
              </w:rPr>
            </w:pPr>
            <w:r>
              <w:rPr>
                <w:rStyle w:val="style4099"/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Style w:val="style4099"/>
                <w:sz w:val="24"/>
                <w:szCs w:val="24"/>
              </w:rPr>
            </w:pPr>
            <w:r>
              <w:rPr>
                <w:rStyle w:val="style4099"/>
                <w:sz w:val="24"/>
                <w:szCs w:val="24"/>
              </w:rPr>
              <w:t>数据分析岗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Style w:val="style4099"/>
                <w:sz w:val="24"/>
                <w:szCs w:val="24"/>
              </w:rPr>
            </w:pPr>
            <w:r>
              <w:rPr>
                <w:rStyle w:val="style4099"/>
                <w:sz w:val="24"/>
                <w:szCs w:val="24"/>
              </w:rPr>
              <w:t>从事数据分析等工作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Style w:val="style4099"/>
                <w:sz w:val="24"/>
                <w:szCs w:val="24"/>
              </w:rPr>
            </w:pPr>
            <w:r>
              <w:rPr>
                <w:rStyle w:val="style4099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Style w:val="style4099"/>
                <w:sz w:val="24"/>
                <w:szCs w:val="24"/>
              </w:rPr>
            </w:pPr>
            <w:r>
              <w:rPr>
                <w:rStyle w:val="style4099"/>
                <w:sz w:val="24"/>
                <w:szCs w:val="24"/>
              </w:rPr>
              <w:t>硕士研究生及以上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Style w:val="style4099"/>
                <w:sz w:val="24"/>
                <w:szCs w:val="24"/>
              </w:rPr>
            </w:pPr>
            <w:r>
              <w:rPr>
                <w:rStyle w:val="style4099"/>
                <w:sz w:val="24"/>
                <w:szCs w:val="24"/>
              </w:rPr>
              <w:t>统计学类、计算机科学与技术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Style w:val="style4099"/>
                <w:sz w:val="24"/>
                <w:szCs w:val="24"/>
              </w:rPr>
            </w:pPr>
            <w:r>
              <w:rPr>
                <w:rStyle w:val="style4099"/>
                <w:sz w:val="24"/>
                <w:szCs w:val="24"/>
              </w:rPr>
              <w:t>熟练掌握</w:t>
            </w:r>
            <w:r>
              <w:rPr>
                <w:rStyle w:val="style4099"/>
                <w:sz w:val="24"/>
                <w:szCs w:val="24"/>
              </w:rPr>
              <w:t>Python,C,R,SQL</w:t>
            </w:r>
            <w:r>
              <w:rPr>
                <w:rStyle w:val="style4099"/>
                <w:sz w:val="24"/>
                <w:szCs w:val="24"/>
              </w:rPr>
              <w:t>等计算机语言、熟练使用</w:t>
            </w:r>
            <w:r>
              <w:rPr>
                <w:rStyle w:val="style4099"/>
                <w:sz w:val="24"/>
                <w:szCs w:val="24"/>
              </w:rPr>
              <w:t>Tableau</w:t>
            </w:r>
            <w:r>
              <w:rPr>
                <w:rStyle w:val="style4099"/>
                <w:sz w:val="24"/>
                <w:szCs w:val="24"/>
              </w:rPr>
              <w:t>等可</w:t>
            </w:r>
            <w:r>
              <w:rPr>
                <w:rStyle w:val="style4099"/>
                <w:sz w:val="24"/>
                <w:szCs w:val="24"/>
              </w:rPr>
              <w:t>视化工具</w:t>
            </w:r>
          </w:p>
        </w:tc>
      </w:tr>
    </w:tbl>
    <w:p>
      <w:pPr>
        <w:pStyle w:val="style0"/>
        <w:widowControl/>
        <w:jc w:val="center"/>
        <w:textAlignment w:val="center"/>
        <w:rPr>
          <w:rStyle w:val="style4099"/>
          <w:sz w:val="24"/>
          <w:szCs w:val="24"/>
        </w:rPr>
      </w:pPr>
    </w:p>
    <w:p>
      <w:pPr>
        <w:pStyle w:val="style0"/>
        <w:spacing w:lineRule="auto" w:line="360"/>
        <w:ind w:firstLine="482" w:firstLineChars="200"/>
        <w:rPr>
          <w:rFonts w:ascii="宋体" w:hAnsi="宋体"/>
          <w:b/>
          <w:bCs/>
          <w:sz w:val="24"/>
        </w:rPr>
      </w:pPr>
    </w:p>
    <w:sectPr>
      <w:pgSz w:w="11906" w:h="16838" w:orient="portrait"/>
      <w:pgMar w:top="1440" w:right="992" w:bottom="1440" w:left="99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0000000000000000000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0040a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097">
    <w:name w:val="页眉 Char"/>
    <w:basedOn w:val="style65"/>
    <w:next w:val="style4097"/>
    <w:link w:val="style31"/>
    <w:uiPriority w:val="99"/>
    <w:rPr>
      <w:rFonts w:ascii="Times New Roman" w:cs="Times New Roman" w:eastAsia="宋体" w:hAnsi="Times New Roman"/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rFonts w:ascii="Times New Roman" w:cs="Times New Roman" w:eastAsia="宋体" w:hAnsi="Times New Roman"/>
      <w:sz w:val="18"/>
      <w:szCs w:val="18"/>
    </w:rPr>
  </w:style>
  <w:style w:type="character" w:customStyle="1" w:styleId="style4099">
    <w:name w:val="font21"/>
    <w:basedOn w:val="style65"/>
    <w:next w:val="style4099"/>
    <w:rPr>
      <w:rFonts w:ascii="仿宋_GB2312" w:cs="仿宋_GB2312" w:eastAsia="仿宋_GB2312"/>
      <w:color w:val="000000"/>
      <w:sz w:val="32"/>
      <w:szCs w:val="32"/>
      <w:u w:val="none"/>
    </w:rPr>
  </w:style>
  <w:style w:type="character" w:customStyle="1" w:styleId="style4100">
    <w:name w:val="font01"/>
    <w:basedOn w:val="style65"/>
    <w:next w:val="style4100"/>
    <w:rPr>
      <w:rFonts w:ascii="Times New Roman" w:cs="Times New Roman" w:hAnsi="Times New Roman" w:hint="default"/>
      <w:color w:val="000000"/>
      <w:sz w:val="32"/>
      <w:szCs w:val="32"/>
      <w:u w:val="none"/>
    </w:rPr>
  </w:style>
  <w:style w:type="character" w:customStyle="1" w:styleId="style4101">
    <w:name w:val="font11"/>
    <w:basedOn w:val="style65"/>
    <w:next w:val="style4101"/>
    <w:rPr>
      <w:rFonts w:ascii="仿宋_GB2312" w:cs="仿宋_GB2312" w:eastAsia="仿宋_GB2312"/>
      <w:color w:val="000000"/>
      <w:sz w:val="32"/>
      <w:szCs w:val="32"/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Words>363</Words>
  <Pages>2</Pages>
  <Characters>387</Characters>
  <Application>WPS Office</Application>
  <DocSecurity>0</DocSecurity>
  <Paragraphs>44</Paragraphs>
  <ScaleCrop>false</ScaleCrop>
  <Company>Microsoft</Company>
  <LinksUpToDate>false</LinksUpToDate>
  <CharactersWithSpaces>393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2020-11-02T10:14:00Z</dcterms:created>
  <dc:creator>马天琦</dc:creator>
  <lastModifiedBy>VOG-AL10</lastModifiedBy>
  <dcterms:modified xsi:type="dcterms:W3CDTF">2021-10-11T08:21:51Z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  <property fmtid="{D5CDD505-2E9C-101B-9397-08002B2CF9AE}" pid="3" name="ICV">
    <vt:lpwstr>102ba6b5802f47df8859902824e2e821</vt:lpwstr>
  </property>
</Properties>
</file>